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679AB" w:rsidRDefault="003679AB" w:rsidP="003679AB">
      <w:pPr>
        <w:jc w:val="center"/>
      </w:pPr>
    </w:p>
    <w:tbl>
      <w:tblPr>
        <w:tblW w:w="9150" w:type="dxa"/>
        <w:jc w:val="center"/>
        <w:tblCellMar>
          <w:left w:w="0" w:type="dxa"/>
          <w:right w:w="0" w:type="dxa"/>
        </w:tblCellMar>
        <w:tblLook w:val="04A0" w:firstRow="1" w:lastRow="0" w:firstColumn="1" w:lastColumn="0" w:noHBand="0" w:noVBand="1"/>
      </w:tblPr>
      <w:tblGrid>
        <w:gridCol w:w="9360"/>
      </w:tblGrid>
      <w:tr w:rsidR="007601C2" w:rsidTr="007601C2">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0" w:type="auto"/>
                  <w:shd w:val="clear" w:color="auto" w:fill="869198"/>
                  <w:hideMark/>
                </w:tcPr>
                <w:tbl>
                  <w:tblPr>
                    <w:tblW w:w="5000" w:type="pct"/>
                    <w:jc w:val="center"/>
                    <w:shd w:val="clear" w:color="auto" w:fill="869198"/>
                    <w:tblCellMar>
                      <w:left w:w="0" w:type="dxa"/>
                      <w:right w:w="0" w:type="dxa"/>
                    </w:tblCellMar>
                    <w:tblLook w:val="04A0" w:firstRow="1" w:lastRow="0" w:firstColumn="1" w:lastColumn="0" w:noHBand="0" w:noVBand="1"/>
                  </w:tblPr>
                  <w:tblGrid>
                    <w:gridCol w:w="9210"/>
                  </w:tblGrid>
                  <w:tr w:rsidR="007601C2">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tcPr>
                            <w:tbl>
                              <w:tblPr>
                                <w:tblW w:w="5000" w:type="pct"/>
                                <w:tblCellMar>
                                  <w:left w:w="0" w:type="dxa"/>
                                  <w:right w:w="0" w:type="dxa"/>
                                </w:tblCellMar>
                                <w:tblLook w:val="04A0" w:firstRow="1" w:lastRow="0" w:firstColumn="1" w:lastColumn="0" w:noHBand="0" w:noVBand="1"/>
                              </w:tblPr>
                              <w:tblGrid>
                                <w:gridCol w:w="9210"/>
                              </w:tblGrid>
                              <w:tr w:rsidR="007601C2">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7601C2">
                                      <w:trPr>
                                        <w:trHeight w:val="15"/>
                                        <w:jc w:val="center"/>
                                      </w:trPr>
                                      <w:tc>
                                        <w:tcPr>
                                          <w:tcW w:w="5000" w:type="pct"/>
                                          <w:tcMar>
                                            <w:top w:w="0" w:type="dxa"/>
                                            <w:left w:w="0" w:type="dxa"/>
                                            <w:bottom w:w="150" w:type="dxa"/>
                                            <w:right w:w="0" w:type="dxa"/>
                                          </w:tcMar>
                                          <w:hideMark/>
                                        </w:tcPr>
                                        <w:p w:rsidR="007601C2" w:rsidRDefault="007601C2">
                                          <w:pPr>
                                            <w:spacing w:line="15" w:lineRule="atLeast"/>
                                            <w:jc w:val="center"/>
                                          </w:pPr>
                                          <w:r>
                                            <w:rPr>
                                              <w:noProof/>
                                            </w:rPr>
                                            <w:drawing>
                                              <wp:inline distT="0" distB="0" distL="0" distR="0">
                                                <wp:extent cx="4572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01C2" w:rsidRDefault="007601C2">
                                    <w:pPr>
                                      <w:jc w:val="center"/>
                                      <w:rPr>
                                        <w:rFonts w:ascii="Times New Roman" w:eastAsia="Times New Roman" w:hAnsi="Times New Roman" w:cs="Times New Roman"/>
                                        <w:sz w:val="20"/>
                                        <w:szCs w:val="20"/>
                                      </w:rPr>
                                    </w:pPr>
                                  </w:p>
                                </w:tc>
                              </w:tr>
                            </w:tbl>
                            <w:p w:rsidR="007601C2" w:rsidRDefault="007601C2">
                              <w:pPr>
                                <w:rPr>
                                  <w:vanish/>
                                </w:rPr>
                              </w:pPr>
                            </w:p>
                            <w:tbl>
                              <w:tblPr>
                                <w:tblW w:w="5000" w:type="pct"/>
                                <w:tblCellMar>
                                  <w:left w:w="0" w:type="dxa"/>
                                  <w:right w:w="0" w:type="dxa"/>
                                </w:tblCellMar>
                                <w:tblLook w:val="04A0" w:firstRow="1" w:lastRow="0" w:firstColumn="1" w:lastColumn="0" w:noHBand="0" w:noVBand="1"/>
                              </w:tblPr>
                              <w:tblGrid>
                                <w:gridCol w:w="9210"/>
                              </w:tblGrid>
                              <w:tr w:rsidR="007601C2">
                                <w:tc>
                                  <w:tcPr>
                                    <w:tcW w:w="0" w:type="auto"/>
                                    <w:tcMar>
                                      <w:top w:w="150" w:type="dxa"/>
                                      <w:left w:w="0" w:type="dxa"/>
                                      <w:bottom w:w="150" w:type="dxa"/>
                                      <w:right w:w="0" w:type="dxa"/>
                                    </w:tcMar>
                                    <w:hideMark/>
                                  </w:tcPr>
                                  <w:p w:rsidR="007601C2" w:rsidRDefault="007601C2">
                                    <w:pPr>
                                      <w:jc w:val="center"/>
                                    </w:pPr>
                                    <w:r>
                                      <w:rPr>
                                        <w:noProof/>
                                      </w:rPr>
                                      <w:drawing>
                                        <wp:inline distT="0" distB="0" distL="0" distR="0">
                                          <wp:extent cx="5684520" cy="2164080"/>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4520" cy="2164080"/>
                                                  </a:xfrm>
                                                  <a:prstGeom prst="rect">
                                                    <a:avLst/>
                                                  </a:prstGeom>
                                                  <a:noFill/>
                                                  <a:ln>
                                                    <a:noFill/>
                                                  </a:ln>
                                                </pic:spPr>
                                              </pic:pic>
                                            </a:graphicData>
                                          </a:graphic>
                                        </wp:inline>
                                      </w:drawing>
                                    </w:r>
                                  </w:p>
                                </w:tc>
                              </w:tr>
                              <w:tr w:rsidR="007601C2">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7601C2">
                                      <w:trPr>
                                        <w:trHeight w:val="15"/>
                                        <w:jc w:val="center"/>
                                      </w:trPr>
                                      <w:tc>
                                        <w:tcPr>
                                          <w:tcW w:w="5000" w:type="pct"/>
                                          <w:tcMar>
                                            <w:top w:w="0" w:type="dxa"/>
                                            <w:left w:w="0" w:type="dxa"/>
                                            <w:bottom w:w="150" w:type="dxa"/>
                                            <w:right w:w="0" w:type="dxa"/>
                                          </w:tcMar>
                                          <w:hideMark/>
                                        </w:tcPr>
                                        <w:p w:rsidR="007601C2" w:rsidRDefault="007601C2">
                                          <w:pPr>
                                            <w:spacing w:line="15" w:lineRule="atLeast"/>
                                            <w:jc w:val="center"/>
                                          </w:pPr>
                                          <w:r>
                                            <w:rPr>
                                              <w:noProof/>
                                            </w:rPr>
                                            <w:drawing>
                                              <wp:inline distT="0" distB="0" distL="0" distR="0">
                                                <wp:extent cx="4572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01C2" w:rsidRDefault="007601C2">
                                    <w:pPr>
                                      <w:jc w:val="center"/>
                                      <w:rPr>
                                        <w:rFonts w:ascii="Times New Roman" w:eastAsia="Times New Roman" w:hAnsi="Times New Roman" w:cs="Times New Roman"/>
                                        <w:sz w:val="20"/>
                                        <w:szCs w:val="20"/>
                                      </w:rPr>
                                    </w:pPr>
                                  </w:p>
                                </w:tc>
                              </w:tr>
                            </w:tbl>
                            <w:p w:rsidR="007601C2" w:rsidRDefault="007601C2"/>
                          </w:tc>
                        </w:tr>
                      </w:tbl>
                      <w:p w:rsidR="007601C2" w:rsidRDefault="007601C2">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7601C2">
                                <w:tc>
                                  <w:tcPr>
                                    <w:tcW w:w="0" w:type="auto"/>
                                    <w:tcMar>
                                      <w:top w:w="150" w:type="dxa"/>
                                      <w:left w:w="300" w:type="dxa"/>
                                      <w:bottom w:w="150" w:type="dxa"/>
                                      <w:right w:w="300" w:type="dxa"/>
                                    </w:tcMar>
                                  </w:tcPr>
                                  <w:p w:rsidR="007601C2" w:rsidRDefault="007601C2">
                                    <w:pPr>
                                      <w:rPr>
                                        <w:rFonts w:ascii="Arial" w:hAnsi="Arial" w:cs="Arial"/>
                                        <w:color w:val="403F42"/>
                                        <w:sz w:val="21"/>
                                        <w:szCs w:val="21"/>
                                      </w:rPr>
                                    </w:pPr>
                                    <w:r>
                                      <w:rPr>
                                        <w:rFonts w:ascii="Times New Roman" w:hAnsi="Times New Roman" w:cs="Times New Roman"/>
                                        <w:color w:val="403F42"/>
                                        <w:sz w:val="24"/>
                                        <w:szCs w:val="24"/>
                                      </w:rPr>
                                      <w:t>Good Morning,</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xml:space="preserve">Beginning today, April 08, 2020, the Bronson Animal Disease Diagnostic Laboratory (BADDL) has enacted a mission critical plan to reduce staffing at the laboratory during the Florida Safer at Home COVID-19, Executive Order Number 20-91. The laboratory will continue to receive and process limited samples from our clients. Clients dropping off samples should fill out paperwork and place the samples in the drop-off coolers in front of the Receiving doors. The goal is to continue to provide mission-critical services to the Animal Industries of Florida. Turnaround times could vary depending on availability of staff, but reasonable efforts will be made to provide quality results in timely manner.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BADDL will classify samples and necropsies into priority groups and will be processed accordingly.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b/>
                                        <w:bCs/>
                                        <w:color w:val="403F42"/>
                                        <w:sz w:val="24"/>
                                        <w:szCs w:val="24"/>
                                        <w:u w:val="single"/>
                                      </w:rPr>
                                      <w:t xml:space="preserve">Priority 1 - Samples will be processed immediately: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2"/>
                                      </w:numPr>
                                      <w:ind w:left="600" w:hanging="240"/>
                                      <w:rPr>
                                        <w:rFonts w:ascii="Arial" w:hAnsi="Arial" w:cs="Arial"/>
                                        <w:color w:val="403F42"/>
                                        <w:sz w:val="24"/>
                                        <w:szCs w:val="24"/>
                                      </w:rPr>
                                    </w:pPr>
                                    <w:r>
                                      <w:rPr>
                                        <w:rFonts w:ascii="Times New Roman" w:hAnsi="Times New Roman" w:cs="Times New Roman"/>
                                        <w:color w:val="403F42"/>
                                        <w:sz w:val="24"/>
                                        <w:szCs w:val="24"/>
                                      </w:rPr>
                                      <w:t>Foreign Animal Diseases (FADs), National Animal Health Laboratory Network (NAHLN) diseases, and Florida reportable and Zoonotic diseases.</w:t>
                                    </w:r>
                                  </w:p>
                                  <w:p w:rsidR="007601C2" w:rsidRDefault="007601C2">
                                    <w:pPr>
                                      <w:rPr>
                                        <w:rFonts w:ascii="Arial" w:hAnsi="Arial" w:cs="Arial"/>
                                        <w:color w:val="403F42"/>
                                        <w:sz w:val="21"/>
                                        <w:szCs w:val="21"/>
                                      </w:rPr>
                                    </w:pPr>
                                  </w:p>
                                  <w:p w:rsidR="007601C2" w:rsidRDefault="007601C2" w:rsidP="007601C2">
                                    <w:pPr>
                                      <w:numPr>
                                        <w:ilvl w:val="0"/>
                                        <w:numId w:val="3"/>
                                      </w:numPr>
                                      <w:ind w:left="1320" w:hanging="240"/>
                                      <w:rPr>
                                        <w:rFonts w:ascii="Arial" w:hAnsi="Arial" w:cs="Arial"/>
                                        <w:color w:val="403F42"/>
                                        <w:sz w:val="24"/>
                                        <w:szCs w:val="24"/>
                                      </w:rPr>
                                    </w:pPr>
                                    <w:hyperlink r:id="rId7" w:tgtFrame="_blank" w:history="1">
                                      <w:r>
                                        <w:rPr>
                                          <w:rStyle w:val="Hyperlink"/>
                                          <w:rFonts w:ascii="Times New Roman" w:hAnsi="Times New Roman" w:cs="Times New Roman"/>
                                          <w:color w:val="48A199"/>
                                          <w:sz w:val="24"/>
                                          <w:szCs w:val="24"/>
                                        </w:rPr>
                                        <w:t>https://www.fdacs.gov/Consumer-Resources/Animals/Animal-Diseases/Reportable-Animal-Diseases</w:t>
                                      </w:r>
                                    </w:hyperlink>
                                  </w:p>
                                  <w:p w:rsidR="007601C2" w:rsidRDefault="007601C2">
                                    <w:pPr>
                                      <w:rPr>
                                        <w:rFonts w:ascii="Arial" w:hAnsi="Arial" w:cs="Arial"/>
                                        <w:color w:val="403F42"/>
                                        <w:sz w:val="21"/>
                                        <w:szCs w:val="21"/>
                                      </w:rPr>
                                    </w:pPr>
                                  </w:p>
                                  <w:p w:rsidR="007601C2" w:rsidRDefault="007601C2" w:rsidP="007601C2">
                                    <w:pPr>
                                      <w:numPr>
                                        <w:ilvl w:val="0"/>
                                        <w:numId w:val="4"/>
                                      </w:numPr>
                                      <w:ind w:left="1320" w:hanging="240"/>
                                      <w:rPr>
                                        <w:rFonts w:ascii="Arial" w:hAnsi="Arial" w:cs="Arial"/>
                                        <w:color w:val="403F42"/>
                                        <w:sz w:val="24"/>
                                        <w:szCs w:val="24"/>
                                      </w:rPr>
                                    </w:pPr>
                                    <w:hyperlink r:id="rId8" w:tgtFrame="_blank" w:history="1">
                                      <w:r>
                                        <w:rPr>
                                          <w:rStyle w:val="Hyperlink"/>
                                          <w:rFonts w:ascii="Times New Roman" w:hAnsi="Times New Roman" w:cs="Times New Roman"/>
                                          <w:color w:val="48A199"/>
                                          <w:sz w:val="24"/>
                                          <w:szCs w:val="24"/>
                                        </w:rPr>
                                        <w:t>https://www.aphis.usda.gov/aphis/ourfocus/animalhealth/lab-info-services/nahln/ct_NAHLN_Activities</w:t>
                                      </w:r>
                                    </w:hyperlink>
                                  </w:p>
                                  <w:p w:rsidR="007601C2" w:rsidRDefault="007601C2">
                                    <w:pPr>
                                      <w:rPr>
                                        <w:rFonts w:ascii="Arial" w:hAnsi="Arial" w:cs="Arial"/>
                                        <w:color w:val="403F42"/>
                                        <w:sz w:val="21"/>
                                        <w:szCs w:val="21"/>
                                      </w:rPr>
                                    </w:pPr>
                                  </w:p>
                                  <w:p w:rsidR="007601C2" w:rsidRDefault="007601C2" w:rsidP="007601C2">
                                    <w:pPr>
                                      <w:numPr>
                                        <w:ilvl w:val="0"/>
                                        <w:numId w:val="5"/>
                                      </w:numPr>
                                      <w:ind w:left="1320" w:hanging="240"/>
                                      <w:rPr>
                                        <w:rFonts w:ascii="Arial" w:hAnsi="Arial" w:cs="Arial"/>
                                        <w:color w:val="403F42"/>
                                        <w:sz w:val="24"/>
                                        <w:szCs w:val="24"/>
                                      </w:rPr>
                                    </w:pPr>
                                    <w:hyperlink r:id="rId9" w:tgtFrame="_blank" w:history="1">
                                      <w:r>
                                        <w:rPr>
                                          <w:rStyle w:val="Hyperlink"/>
                                          <w:rFonts w:ascii="Times New Roman" w:hAnsi="Times New Roman" w:cs="Times New Roman"/>
                                          <w:color w:val="48A199"/>
                                          <w:sz w:val="24"/>
                                          <w:szCs w:val="24"/>
                                        </w:rPr>
                                        <w:t>https://www.aphis.usda.gov/emergency_response/downloads/nahems/fad.pdf</w:t>
                                      </w:r>
                                    </w:hyperlink>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6"/>
                                      </w:numPr>
                                      <w:ind w:left="600" w:hanging="240"/>
                                      <w:rPr>
                                        <w:rFonts w:ascii="Arial" w:hAnsi="Arial" w:cs="Arial"/>
                                        <w:color w:val="403F42"/>
                                        <w:sz w:val="24"/>
                                        <w:szCs w:val="24"/>
                                      </w:rPr>
                                    </w:pPr>
                                    <w:r>
                                      <w:rPr>
                                        <w:rFonts w:ascii="Times New Roman" w:hAnsi="Times New Roman" w:cs="Times New Roman"/>
                                        <w:color w:val="403F42"/>
                                        <w:sz w:val="24"/>
                                        <w:szCs w:val="24"/>
                                      </w:rPr>
                                      <w:t>Any samples from clinically ill, live animals submitted by veterinarians (swabs, exudate, urine and biopsies).</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7"/>
                                      </w:numPr>
                                      <w:ind w:left="600" w:hanging="240"/>
                                      <w:rPr>
                                        <w:rFonts w:ascii="Arial" w:hAnsi="Arial" w:cs="Arial"/>
                                        <w:color w:val="403F42"/>
                                        <w:sz w:val="24"/>
                                        <w:szCs w:val="24"/>
                                      </w:rPr>
                                    </w:pPr>
                                    <w:r>
                                      <w:rPr>
                                        <w:rFonts w:ascii="Times New Roman" w:hAnsi="Times New Roman" w:cs="Times New Roman"/>
                                        <w:color w:val="403F42"/>
                                        <w:sz w:val="24"/>
                                        <w:szCs w:val="24"/>
                                      </w:rPr>
                                      <w:t>Food and Fiber animals and Poultry Species will be tested first within this category.</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8"/>
                                      </w:numPr>
                                      <w:ind w:left="600" w:hanging="240"/>
                                      <w:rPr>
                                        <w:rFonts w:ascii="Arial" w:hAnsi="Arial" w:cs="Arial"/>
                                        <w:color w:val="403F42"/>
                                        <w:sz w:val="24"/>
                                        <w:szCs w:val="24"/>
                                      </w:rPr>
                                    </w:pPr>
                                    <w:r>
                                      <w:rPr>
                                        <w:rFonts w:ascii="Times New Roman" w:hAnsi="Times New Roman" w:cs="Times New Roman"/>
                                        <w:color w:val="403F42"/>
                                        <w:sz w:val="24"/>
                                        <w:szCs w:val="24"/>
                                      </w:rPr>
                                      <w:t>Forensic cases from governmental sources such as county animal services, police departments, or sheriff’s offices.</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r>
                                      <w:rPr>
                                        <w:rFonts w:ascii="Times New Roman" w:hAnsi="Times New Roman" w:cs="Times New Roman"/>
                                        <w:b/>
                                        <w:bCs/>
                                        <w:color w:val="403F42"/>
                                        <w:sz w:val="24"/>
                                        <w:szCs w:val="24"/>
                                        <w:u w:val="single"/>
                                      </w:rPr>
                                      <w:t>Priority 2 - Samples will be processed when staffing allows:</w:t>
                                    </w:r>
                                    <w:r>
                                      <w:rPr>
                                        <w:rFonts w:ascii="Arial" w:hAnsi="Arial" w:cs="Arial"/>
                                        <w:color w:val="403F42"/>
                                        <w:sz w:val="21"/>
                                        <w:szCs w:val="21"/>
                                      </w:rPr>
                                      <w:t xml:space="preserve"> </w:t>
                                    </w:r>
                                  </w:p>
                                  <w:p w:rsidR="007601C2" w:rsidRDefault="007601C2">
                                    <w:pPr>
                                      <w:rPr>
                                        <w:rFonts w:ascii="Arial" w:hAnsi="Arial" w:cs="Arial"/>
                                        <w:color w:val="403F42"/>
                                        <w:sz w:val="21"/>
                                        <w:szCs w:val="21"/>
                                      </w:rPr>
                                    </w:pPr>
                                    <w:r>
                                      <w:rPr>
                                        <w:rFonts w:ascii="Times New Roman" w:hAnsi="Times New Roman" w:cs="Times New Roman"/>
                                        <w:b/>
                                        <w:bCs/>
                                        <w:color w:val="403F42"/>
                                        <w:sz w:val="24"/>
                                        <w:szCs w:val="24"/>
                                      </w:rPr>
                                      <w:t> </w:t>
                                    </w:r>
                                  </w:p>
                                  <w:p w:rsidR="007601C2" w:rsidRDefault="007601C2" w:rsidP="007601C2">
                                    <w:pPr>
                                      <w:numPr>
                                        <w:ilvl w:val="0"/>
                                        <w:numId w:val="9"/>
                                      </w:numPr>
                                      <w:ind w:left="600" w:hanging="240"/>
                                      <w:rPr>
                                        <w:rFonts w:ascii="Arial" w:hAnsi="Arial" w:cs="Arial"/>
                                        <w:color w:val="403F42"/>
                                        <w:sz w:val="21"/>
                                        <w:szCs w:val="21"/>
                                      </w:rPr>
                                    </w:pPr>
                                    <w:r>
                                      <w:rPr>
                                        <w:rFonts w:ascii="Times New Roman" w:hAnsi="Times New Roman" w:cs="Times New Roman"/>
                                        <w:color w:val="403F42"/>
                                        <w:sz w:val="24"/>
                                        <w:szCs w:val="24"/>
                                      </w:rPr>
                                      <w:t xml:space="preserve">For samples that do not meet the above criteria (Priority 1), submitters will be given information of other diagnostic laboratories that may be accepting samples to avoid potential delays in testing. A list of AAVLD accredited labs can be found at </w:t>
                                    </w:r>
                                    <w:hyperlink r:id="rId10" w:tgtFrame="_blank" w:history="1">
                                      <w:r>
                                        <w:rPr>
                                          <w:rStyle w:val="Hyperlink"/>
                                          <w:rFonts w:ascii="Times New Roman" w:hAnsi="Times New Roman" w:cs="Times New Roman"/>
                                          <w:color w:val="48A199"/>
                                          <w:sz w:val="24"/>
                                          <w:szCs w:val="24"/>
                                        </w:rPr>
                                        <w:t>https://aavld.memberclicks.net/accredited-laboratories</w:t>
                                      </w:r>
                                    </w:hyperlink>
                                    <w:r>
                                      <w:rPr>
                                        <w:rFonts w:ascii="Times New Roman" w:hAnsi="Times New Roman" w:cs="Times New Roman"/>
                                        <w:color w:val="403F42"/>
                                        <w:sz w:val="24"/>
                                        <w:szCs w:val="24"/>
                                      </w:rPr>
                                      <w:t xml:space="preserve">.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10"/>
                                      </w:numPr>
                                      <w:ind w:left="600" w:hanging="240"/>
                                      <w:rPr>
                                        <w:rFonts w:ascii="Arial" w:hAnsi="Arial" w:cs="Arial"/>
                                        <w:color w:val="403F42"/>
                                        <w:sz w:val="24"/>
                                        <w:szCs w:val="24"/>
                                      </w:rPr>
                                    </w:pPr>
                                    <w:r>
                                      <w:rPr>
                                        <w:rFonts w:ascii="Times New Roman" w:hAnsi="Times New Roman" w:cs="Times New Roman"/>
                                        <w:color w:val="403F42"/>
                                        <w:sz w:val="24"/>
                                        <w:szCs w:val="24"/>
                                      </w:rPr>
                                      <w:t xml:space="preserve">If submitter agrees to delayed testing of Priority 2 samples, the submitted samples will be stored in a refrigerator and tested as soon as staffing allows.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b/>
                                        <w:bCs/>
                                        <w:color w:val="403F42"/>
                                        <w:sz w:val="24"/>
                                        <w:szCs w:val="24"/>
                                        <w:u w:val="single"/>
                                      </w:rPr>
                                      <w:t xml:space="preserve">Necropsy Considerations: </w:t>
                                    </w:r>
                                  </w:p>
                                  <w:p w:rsidR="007601C2" w:rsidRDefault="007601C2">
                                    <w:pPr>
                                      <w:rPr>
                                        <w:rFonts w:ascii="Arial" w:hAnsi="Arial" w:cs="Arial"/>
                                        <w:color w:val="403F42"/>
                                        <w:sz w:val="21"/>
                                        <w:szCs w:val="21"/>
                                      </w:rPr>
                                    </w:pPr>
                                    <w:r>
                                      <w:rPr>
                                        <w:rFonts w:ascii="Times New Roman" w:hAnsi="Times New Roman" w:cs="Times New Roman"/>
                                        <w:b/>
                                        <w:bCs/>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b/>
                                        <w:bCs/>
                                        <w:color w:val="403F42"/>
                                        <w:sz w:val="24"/>
                                        <w:szCs w:val="24"/>
                                      </w:rPr>
                                      <w:t>Submitters are encouraged to call the laboratory prior to delivering necropsy submissions.</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Based on the best scientific judgement of pathologist on the floor, a gross only necropsy will be performed on any case.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11"/>
                                      </w:numPr>
                                      <w:ind w:left="600" w:hanging="240"/>
                                      <w:rPr>
                                        <w:rFonts w:ascii="Arial" w:hAnsi="Arial" w:cs="Arial"/>
                                        <w:color w:val="403F42"/>
                                        <w:sz w:val="24"/>
                                        <w:szCs w:val="24"/>
                                      </w:rPr>
                                    </w:pPr>
                                    <w:r>
                                      <w:rPr>
                                        <w:rFonts w:ascii="Times New Roman" w:hAnsi="Times New Roman" w:cs="Times New Roman"/>
                                        <w:color w:val="403F42"/>
                                        <w:sz w:val="24"/>
                                        <w:szCs w:val="24"/>
                                      </w:rPr>
                                      <w:t>Food animal species, FAD, Reportable and Zoonotic disease cases will be given priority. The specific daily prioritization will be determined by the pathologist on duty and/or Laboratory Director.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12"/>
                                      </w:numPr>
                                      <w:ind w:left="600" w:hanging="240"/>
                                      <w:rPr>
                                        <w:rFonts w:ascii="Arial" w:hAnsi="Arial" w:cs="Arial"/>
                                        <w:color w:val="403F42"/>
                                        <w:sz w:val="24"/>
                                        <w:szCs w:val="24"/>
                                      </w:rPr>
                                    </w:pPr>
                                    <w:r>
                                      <w:rPr>
                                        <w:rFonts w:ascii="Times New Roman" w:hAnsi="Times New Roman" w:cs="Times New Roman"/>
                                        <w:color w:val="403F42"/>
                                        <w:sz w:val="24"/>
                                        <w:szCs w:val="24"/>
                                      </w:rPr>
                                      <w:t xml:space="preserve">BADDL may not accept other forensic, research, insurance-related necropsies of companion animals and horses. This decision will depend upon availability of staff and the necropsy cooler space.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rsidP="007601C2">
                                    <w:pPr>
                                      <w:numPr>
                                        <w:ilvl w:val="0"/>
                                        <w:numId w:val="13"/>
                                      </w:numPr>
                                      <w:ind w:left="600" w:hanging="240"/>
                                      <w:rPr>
                                        <w:rFonts w:ascii="Arial" w:hAnsi="Arial" w:cs="Arial"/>
                                        <w:color w:val="403F42"/>
                                        <w:sz w:val="24"/>
                                        <w:szCs w:val="24"/>
                                      </w:rPr>
                                    </w:pPr>
                                    <w:r>
                                      <w:rPr>
                                        <w:rFonts w:ascii="Times New Roman" w:hAnsi="Times New Roman" w:cs="Times New Roman"/>
                                        <w:color w:val="403F42"/>
                                        <w:sz w:val="24"/>
                                        <w:szCs w:val="24"/>
                                      </w:rPr>
                                      <w:t xml:space="preserve">BADDL will only accept companion animal necropsies when there are potential contagious/infectious agents involved (Rabies, </w:t>
                                    </w:r>
                                    <w:r>
                                      <w:rPr>
                                        <w:rFonts w:ascii="Times New Roman" w:hAnsi="Times New Roman" w:cs="Times New Roman"/>
                                        <w:i/>
                                        <w:iCs/>
                                        <w:color w:val="403F42"/>
                                        <w:sz w:val="24"/>
                                        <w:szCs w:val="24"/>
                                      </w:rPr>
                                      <w:t>Salmonella</w:t>
                                    </w:r>
                                    <w:r>
                                      <w:rPr>
                                        <w:rFonts w:ascii="Times New Roman" w:hAnsi="Times New Roman" w:cs="Times New Roman"/>
                                        <w:color w:val="403F42"/>
                                        <w:sz w:val="24"/>
                                        <w:szCs w:val="24"/>
                                      </w:rPr>
                                      <w:t xml:space="preserve">, </w:t>
                                    </w:r>
                                    <w:r>
                                      <w:rPr>
                                        <w:rFonts w:ascii="Times New Roman" w:hAnsi="Times New Roman" w:cs="Times New Roman"/>
                                        <w:i/>
                                        <w:iCs/>
                                        <w:color w:val="403F42"/>
                                        <w:sz w:val="24"/>
                                        <w:szCs w:val="24"/>
                                      </w:rPr>
                                      <w:t>Campylobacter,</w:t>
                                    </w:r>
                                    <w:r>
                                      <w:rPr>
                                        <w:rFonts w:ascii="Times New Roman" w:hAnsi="Times New Roman" w:cs="Times New Roman"/>
                                        <w:color w:val="403F42"/>
                                        <w:sz w:val="24"/>
                                        <w:szCs w:val="24"/>
                                      </w:rPr>
                                      <w:t xml:space="preserve"> etc.).</w:t>
                                    </w:r>
                                    <w:r>
                                      <w:rPr>
                                        <w:rFonts w:ascii="Arial" w:hAnsi="Arial" w:cs="Arial"/>
                                        <w:color w:val="403F42"/>
                                        <w:sz w:val="24"/>
                                        <w:szCs w:val="24"/>
                                      </w:rPr>
                                      <w:t xml:space="preserve">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xml:space="preserve">We appreciate your patience and thoughtfulness as we are limiting our staffing and interactions during the COVID-19 response.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t> </w:t>
                                    </w:r>
                                  </w:p>
                                  <w:p w:rsidR="007601C2" w:rsidRDefault="007601C2">
                                    <w:pPr>
                                      <w:rPr>
                                        <w:rFonts w:ascii="Arial" w:hAnsi="Arial" w:cs="Arial"/>
                                        <w:color w:val="403F42"/>
                                        <w:sz w:val="21"/>
                                        <w:szCs w:val="21"/>
                                      </w:rPr>
                                    </w:pPr>
                                    <w:r>
                                      <w:rPr>
                                        <w:rFonts w:ascii="Times New Roman" w:hAnsi="Times New Roman" w:cs="Times New Roman"/>
                                        <w:color w:val="403F42"/>
                                        <w:sz w:val="24"/>
                                        <w:szCs w:val="24"/>
                                      </w:rPr>
                                      <w:lastRenderedPageBreak/>
                                      <w:t>If you have any questions, please do not hesitate to call our BADDL team at 321-697-1400.</w:t>
                                    </w:r>
                                  </w:p>
                                </w:tc>
                              </w:tr>
                            </w:tbl>
                            <w:p w:rsidR="007601C2" w:rsidRDefault="007601C2">
                              <w:pPr>
                                <w:rPr>
                                  <w:rFonts w:ascii="Times New Roman" w:eastAsia="Times New Roman" w:hAnsi="Times New Roman" w:cs="Times New Roman"/>
                                  <w:sz w:val="20"/>
                                  <w:szCs w:val="20"/>
                                </w:rPr>
                              </w:pPr>
                            </w:p>
                          </w:tc>
                        </w:tr>
                      </w:tbl>
                      <w:p w:rsidR="007601C2" w:rsidRDefault="007601C2">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7601C2">
                                <w:tc>
                                  <w:tcPr>
                                    <w:tcW w:w="0" w:type="auto"/>
                                    <w:tcMar>
                                      <w:top w:w="150" w:type="dxa"/>
                                      <w:left w:w="300" w:type="dxa"/>
                                      <w:bottom w:w="150" w:type="dxa"/>
                                      <w:right w:w="300" w:type="dxa"/>
                                    </w:tcMar>
                                  </w:tcPr>
                                  <w:p w:rsidR="007601C2" w:rsidRDefault="007601C2">
                                    <w:pPr>
                                      <w:rPr>
                                        <w:rFonts w:ascii="Arial" w:hAnsi="Arial" w:cs="Arial"/>
                                        <w:color w:val="403F42"/>
                                        <w:sz w:val="21"/>
                                        <w:szCs w:val="21"/>
                                      </w:rPr>
                                    </w:pPr>
                                    <w:r>
                                      <w:rPr>
                                        <w:rFonts w:ascii="Times New Roman" w:hAnsi="Times New Roman" w:cs="Times New Roman"/>
                                        <w:color w:val="403F42"/>
                                        <w:sz w:val="21"/>
                                        <w:szCs w:val="21"/>
                                      </w:rPr>
                                      <w:t>Sincerely,</w:t>
                                    </w:r>
                                  </w:p>
                                  <w:p w:rsidR="007601C2" w:rsidRDefault="007601C2">
                                    <w:pPr>
                                      <w:rPr>
                                        <w:rFonts w:ascii="Arial" w:hAnsi="Arial" w:cs="Arial"/>
                                        <w:color w:val="403F42"/>
                                        <w:sz w:val="21"/>
                                        <w:szCs w:val="21"/>
                                      </w:rPr>
                                    </w:pPr>
                                  </w:p>
                                  <w:p w:rsidR="007601C2" w:rsidRDefault="007601C2">
                                    <w:pPr>
                                      <w:rPr>
                                        <w:rFonts w:ascii="Arial" w:hAnsi="Arial" w:cs="Arial"/>
                                        <w:color w:val="403F42"/>
                                        <w:sz w:val="21"/>
                                        <w:szCs w:val="21"/>
                                      </w:rPr>
                                    </w:pPr>
                                    <w:r>
                                      <w:rPr>
                                        <w:rFonts w:ascii="Times New Roman" w:hAnsi="Times New Roman" w:cs="Times New Roman"/>
                                        <w:color w:val="403F42"/>
                                        <w:sz w:val="21"/>
                                        <w:szCs w:val="21"/>
                                      </w:rPr>
                                      <w:t>The BADDL Team</w:t>
                                    </w:r>
                                  </w:p>
                                </w:tc>
                              </w:tr>
                            </w:tbl>
                            <w:p w:rsidR="007601C2" w:rsidRDefault="007601C2">
                              <w:pPr>
                                <w:rPr>
                                  <w:rFonts w:ascii="Times New Roman" w:eastAsia="Times New Roman" w:hAnsi="Times New Roman" w:cs="Times New Roman"/>
                                  <w:sz w:val="20"/>
                                  <w:szCs w:val="20"/>
                                </w:rPr>
                              </w:pPr>
                            </w:p>
                          </w:tc>
                        </w:tr>
                      </w:tbl>
                      <w:p w:rsidR="007601C2" w:rsidRDefault="007601C2">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7601C2">
                                <w:tc>
                                  <w:tcPr>
                                    <w:tcW w:w="0" w:type="auto"/>
                                    <w:tcMar>
                                      <w:top w:w="150" w:type="dxa"/>
                                      <w:left w:w="300" w:type="dxa"/>
                                      <w:bottom w:w="150" w:type="dxa"/>
                                      <w:right w:w="300" w:type="dxa"/>
                                    </w:tcMar>
                                  </w:tcPr>
                                  <w:p w:rsidR="007601C2" w:rsidRDefault="007601C2">
                                    <w:pPr>
                                      <w:jc w:val="center"/>
                                      <w:rPr>
                                        <w:rFonts w:ascii="Arial" w:hAnsi="Arial" w:cs="Arial"/>
                                        <w:color w:val="403F42"/>
                                        <w:sz w:val="21"/>
                                        <w:szCs w:val="21"/>
                                      </w:rPr>
                                    </w:pPr>
                                  </w:p>
                                  <w:p w:rsidR="007601C2" w:rsidRDefault="007601C2">
                                    <w:pPr>
                                      <w:jc w:val="center"/>
                                      <w:rPr>
                                        <w:rFonts w:ascii="Arial" w:hAnsi="Arial" w:cs="Arial"/>
                                        <w:color w:val="403F42"/>
                                        <w:sz w:val="21"/>
                                        <w:szCs w:val="21"/>
                                      </w:rPr>
                                    </w:pPr>
                                    <w:r>
                                      <w:rPr>
                                        <w:rFonts w:ascii="Arial" w:hAnsi="Arial" w:cs="Arial"/>
                                        <w:b/>
                                        <w:bCs/>
                                        <w:color w:val="403F42"/>
                                        <w:sz w:val="21"/>
                                        <w:szCs w:val="21"/>
                                      </w:rPr>
                                      <w:t>Bronson Animal Disease Diagnostic Laboratory</w:t>
                                    </w:r>
                                  </w:p>
                                  <w:p w:rsidR="007601C2" w:rsidRDefault="007601C2">
                                    <w:pPr>
                                      <w:jc w:val="center"/>
                                      <w:rPr>
                                        <w:rFonts w:ascii="Arial" w:hAnsi="Arial" w:cs="Arial"/>
                                        <w:color w:val="403F42"/>
                                        <w:sz w:val="21"/>
                                        <w:szCs w:val="21"/>
                                      </w:rPr>
                                    </w:pPr>
                                    <w:r>
                                      <w:rPr>
                                        <w:rFonts w:ascii="Arial" w:hAnsi="Arial" w:cs="Arial"/>
                                        <w:color w:val="403F42"/>
                                        <w:sz w:val="21"/>
                                        <w:szCs w:val="21"/>
                                      </w:rPr>
                                      <w:t>2700 N. John Young Parkway</w:t>
                                    </w:r>
                                  </w:p>
                                  <w:p w:rsidR="007601C2" w:rsidRDefault="007601C2">
                                    <w:pPr>
                                      <w:jc w:val="center"/>
                                      <w:rPr>
                                        <w:rFonts w:ascii="Arial" w:hAnsi="Arial" w:cs="Arial"/>
                                        <w:color w:val="403F42"/>
                                        <w:sz w:val="21"/>
                                        <w:szCs w:val="21"/>
                                      </w:rPr>
                                    </w:pPr>
                                    <w:r>
                                      <w:rPr>
                                        <w:rFonts w:ascii="Arial" w:hAnsi="Arial" w:cs="Arial"/>
                                        <w:color w:val="403F42"/>
                                        <w:sz w:val="21"/>
                                        <w:szCs w:val="21"/>
                                      </w:rPr>
                                      <w:t>Kissimmee, FL 34741</w:t>
                                    </w:r>
                                  </w:p>
                                  <w:p w:rsidR="007601C2" w:rsidRDefault="007601C2">
                                    <w:pPr>
                                      <w:jc w:val="center"/>
                                      <w:rPr>
                                        <w:rFonts w:ascii="Arial" w:hAnsi="Arial" w:cs="Arial"/>
                                        <w:color w:val="403F42"/>
                                        <w:sz w:val="21"/>
                                        <w:szCs w:val="21"/>
                                      </w:rPr>
                                    </w:pPr>
                                    <w:r>
                                      <w:rPr>
                                        <w:rFonts w:ascii="Arial" w:hAnsi="Arial" w:cs="Arial"/>
                                        <w:color w:val="403F42"/>
                                        <w:sz w:val="21"/>
                                        <w:szCs w:val="21"/>
                                      </w:rPr>
                                      <w:t>321-697-1400</w:t>
                                    </w:r>
                                  </w:p>
                                  <w:p w:rsidR="007601C2" w:rsidRDefault="007601C2">
                                    <w:pPr>
                                      <w:jc w:val="center"/>
                                      <w:rPr>
                                        <w:rFonts w:ascii="Arial" w:hAnsi="Arial" w:cs="Arial"/>
                                        <w:color w:val="403F42"/>
                                        <w:sz w:val="21"/>
                                        <w:szCs w:val="21"/>
                                      </w:rPr>
                                    </w:pPr>
                                    <w:hyperlink r:id="rId11" w:tgtFrame="_blank" w:history="1">
                                      <w:r>
                                        <w:rPr>
                                          <w:rStyle w:val="Hyperlink"/>
                                          <w:rFonts w:ascii="Arial" w:hAnsi="Arial" w:cs="Arial"/>
                                          <w:color w:val="48A199"/>
                                          <w:sz w:val="21"/>
                                          <w:szCs w:val="21"/>
                                        </w:rPr>
                                        <w:t>FDACS.gov/BADDL</w:t>
                                      </w:r>
                                    </w:hyperlink>
                                  </w:p>
                                  <w:p w:rsidR="007601C2" w:rsidRDefault="007601C2">
                                    <w:pPr>
                                      <w:jc w:val="center"/>
                                      <w:rPr>
                                        <w:rFonts w:ascii="Arial" w:hAnsi="Arial" w:cs="Arial"/>
                                        <w:color w:val="403F42"/>
                                        <w:sz w:val="21"/>
                                        <w:szCs w:val="21"/>
                                      </w:rPr>
                                    </w:pPr>
                                  </w:p>
                                  <w:p w:rsidR="007601C2" w:rsidRDefault="007601C2">
                                    <w:pPr>
                                      <w:jc w:val="center"/>
                                      <w:rPr>
                                        <w:rFonts w:ascii="Arial" w:hAnsi="Arial" w:cs="Arial"/>
                                        <w:color w:val="403F42"/>
                                        <w:sz w:val="21"/>
                                        <w:szCs w:val="21"/>
                                      </w:rPr>
                                    </w:pPr>
                                    <w:r>
                                      <w:rPr>
                                        <w:rFonts w:ascii="Arial" w:hAnsi="Arial" w:cs="Arial"/>
                                        <w:b/>
                                        <w:bCs/>
                                        <w:color w:val="403F42"/>
                                        <w:sz w:val="27"/>
                                        <w:szCs w:val="27"/>
                                      </w:rPr>
                                      <w:t>Local. Trusted. Proven.</w:t>
                                    </w:r>
                                  </w:p>
                                </w:tc>
                              </w:tr>
                            </w:tbl>
                            <w:p w:rsidR="007601C2" w:rsidRDefault="007601C2">
                              <w:pPr>
                                <w:rPr>
                                  <w:rFonts w:ascii="Times New Roman" w:eastAsia="Times New Roman" w:hAnsi="Times New Roman" w:cs="Times New Roman"/>
                                  <w:sz w:val="20"/>
                                  <w:szCs w:val="20"/>
                                </w:rPr>
                              </w:pPr>
                            </w:p>
                          </w:tc>
                        </w:tr>
                      </w:tbl>
                      <w:p w:rsidR="007601C2" w:rsidRDefault="007601C2">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7601C2">
                                <w:tc>
                                  <w:tcPr>
                                    <w:tcW w:w="0" w:type="auto"/>
                                    <w:hideMark/>
                                  </w:tcPr>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tcMar>
                                            <w:top w:w="135" w:type="dxa"/>
                                            <w:left w:w="0" w:type="dxa"/>
                                            <w:bottom w:w="135" w:type="dxa"/>
                                            <w:right w:w="0" w:type="dxa"/>
                                          </w:tcMar>
                                          <w:hideMark/>
                                        </w:tcPr>
                                        <w:tbl>
                                          <w:tblPr>
                                            <w:tblW w:w="4650" w:type="pct"/>
                                            <w:jc w:val="center"/>
                                            <w:tblCellMar>
                                              <w:left w:w="0" w:type="dxa"/>
                                              <w:right w:w="0" w:type="dxa"/>
                                            </w:tblCellMar>
                                            <w:tblLook w:val="04A0" w:firstRow="1" w:lastRow="0" w:firstColumn="1" w:lastColumn="0" w:noHBand="0" w:noVBand="1"/>
                                          </w:tblPr>
                                          <w:tblGrid>
                                            <w:gridCol w:w="8565"/>
                                          </w:tblGrid>
                                          <w:tr w:rsidR="007601C2">
                                            <w:trPr>
                                              <w:trHeight w:val="15"/>
                                              <w:jc w:val="center"/>
                                            </w:trPr>
                                            <w:tc>
                                              <w:tcPr>
                                                <w:tcW w:w="0" w:type="auto"/>
                                                <w:shd w:val="clear" w:color="auto" w:fill="869198"/>
                                                <w:vAlign w:val="center"/>
                                                <w:hideMark/>
                                              </w:tcPr>
                                              <w:p w:rsidR="007601C2" w:rsidRDefault="007601C2">
                                                <w:pPr>
                                                  <w:spacing w:line="15" w:lineRule="atLeast"/>
                                                  <w:jc w:val="center"/>
                                                </w:pPr>
                                                <w:r>
                                                  <w:rPr>
                                                    <w:noProof/>
                                                    <w:color w:val="000000"/>
                                                  </w:rPr>
                                                  <w:drawing>
                                                    <wp:inline distT="0" distB="0" distL="0" distR="0">
                                                      <wp:extent cx="4572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7601C2" w:rsidRDefault="007601C2">
                                          <w:pPr>
                                            <w:jc w:val="center"/>
                                            <w:rPr>
                                              <w:rFonts w:ascii="Times New Roman" w:eastAsia="Times New Roman" w:hAnsi="Times New Roman" w:cs="Times New Roman"/>
                                              <w:sz w:val="20"/>
                                              <w:szCs w:val="20"/>
                                            </w:rPr>
                                          </w:pPr>
                                        </w:p>
                                      </w:tc>
                                    </w:tr>
                                  </w:tbl>
                                  <w:p w:rsidR="007601C2" w:rsidRDefault="007601C2">
                                    <w:pPr>
                                      <w:jc w:val="center"/>
                                      <w:rPr>
                                        <w:rFonts w:ascii="Times New Roman" w:eastAsia="Times New Roman" w:hAnsi="Times New Roman" w:cs="Times New Roman"/>
                                        <w:sz w:val="20"/>
                                        <w:szCs w:val="20"/>
                                      </w:rPr>
                                    </w:pPr>
                                  </w:p>
                                </w:tc>
                              </w:tr>
                            </w:tbl>
                            <w:p w:rsidR="007601C2" w:rsidRDefault="007601C2">
                              <w:pPr>
                                <w:rPr>
                                  <w:rFonts w:ascii="Times New Roman" w:eastAsia="Times New Roman" w:hAnsi="Times New Roman" w:cs="Times New Roman"/>
                                  <w:sz w:val="20"/>
                                  <w:szCs w:val="20"/>
                                </w:rPr>
                              </w:pPr>
                            </w:p>
                          </w:tc>
                        </w:tr>
                      </w:tbl>
                      <w:p w:rsidR="007601C2" w:rsidRDefault="007601C2">
                        <w:pPr>
                          <w:jc w:val="center"/>
                        </w:pPr>
                      </w:p>
                      <w:tbl>
                        <w:tblPr>
                          <w:tblW w:w="5000" w:type="pct"/>
                          <w:jc w:val="center"/>
                          <w:tblCellMar>
                            <w:left w:w="0" w:type="dxa"/>
                            <w:right w:w="0" w:type="dxa"/>
                          </w:tblCellMar>
                          <w:tblLook w:val="04A0" w:firstRow="1" w:lastRow="0" w:firstColumn="1" w:lastColumn="0" w:noHBand="0" w:noVBand="1"/>
                        </w:tblPr>
                        <w:tblGrid>
                          <w:gridCol w:w="9210"/>
                        </w:tblGrid>
                        <w:tr w:rsidR="007601C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210"/>
                              </w:tblGrid>
                              <w:tr w:rsidR="007601C2">
                                <w:tc>
                                  <w:tcPr>
                                    <w:tcW w:w="0" w:type="auto"/>
                                    <w:hideMark/>
                                  </w:tcPr>
                                  <w:p w:rsidR="007601C2" w:rsidRDefault="007601C2">
                                    <w:pPr>
                                      <w:jc w:val="center"/>
                                    </w:pPr>
                                    <w:r>
                                      <w:rPr>
                                        <w:noProof/>
                                      </w:rPr>
                                      <w:drawing>
                                        <wp:inline distT="0" distB="0" distL="0" distR="0">
                                          <wp:extent cx="5448300" cy="156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48300" cy="1562100"/>
                                                  </a:xfrm>
                                                  <a:prstGeom prst="rect">
                                                    <a:avLst/>
                                                  </a:prstGeom>
                                                  <a:noFill/>
                                                  <a:ln>
                                                    <a:noFill/>
                                                  </a:ln>
                                                </pic:spPr>
                                              </pic:pic>
                                            </a:graphicData>
                                          </a:graphic>
                                        </wp:inline>
                                      </w:drawing>
                                    </w:r>
                                  </w:p>
                                </w:tc>
                              </w:tr>
                            </w:tbl>
                            <w:p w:rsidR="007601C2" w:rsidRDefault="007601C2">
                              <w:pPr>
                                <w:rPr>
                                  <w:rFonts w:ascii="Times New Roman" w:eastAsia="Times New Roman" w:hAnsi="Times New Roman" w:cs="Times New Roman"/>
                                  <w:sz w:val="20"/>
                                  <w:szCs w:val="20"/>
                                </w:rPr>
                              </w:pPr>
                            </w:p>
                          </w:tc>
                        </w:tr>
                      </w:tbl>
                      <w:p w:rsidR="007601C2" w:rsidRDefault="007601C2">
                        <w:pPr>
                          <w:jc w:val="center"/>
                        </w:pPr>
                      </w:p>
                    </w:tc>
                  </w:tr>
                </w:tbl>
                <w:p w:rsidR="007601C2" w:rsidRDefault="007601C2">
                  <w:pPr>
                    <w:jc w:val="center"/>
                    <w:rPr>
                      <w:rFonts w:ascii="Times New Roman" w:eastAsia="Times New Roman" w:hAnsi="Times New Roman" w:cs="Times New Roman"/>
                      <w:sz w:val="20"/>
                      <w:szCs w:val="20"/>
                    </w:rPr>
                  </w:pPr>
                </w:p>
              </w:tc>
            </w:tr>
          </w:tbl>
          <w:p w:rsidR="007601C2" w:rsidRDefault="007601C2">
            <w:pPr>
              <w:jc w:val="center"/>
              <w:rPr>
                <w:rFonts w:ascii="Times New Roman" w:eastAsia="Times New Roman" w:hAnsi="Times New Roman" w:cs="Times New Roman"/>
                <w:sz w:val="20"/>
                <w:szCs w:val="20"/>
              </w:rPr>
            </w:pPr>
          </w:p>
        </w:tc>
      </w:tr>
    </w:tbl>
    <w:p w:rsidR="00ED062A" w:rsidRDefault="007601C2">
      <w:bookmarkStart w:id="0" w:name="_GoBack"/>
      <w:bookmarkEnd w:id="0"/>
    </w:p>
    <w:sectPr w:rsidR="00ED0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5294"/>
    <w:multiLevelType w:val="multilevel"/>
    <w:tmpl w:val="72A6C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963DD"/>
    <w:multiLevelType w:val="multilevel"/>
    <w:tmpl w:val="C72A1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36288"/>
    <w:multiLevelType w:val="multilevel"/>
    <w:tmpl w:val="8190F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C1B15"/>
    <w:multiLevelType w:val="multilevel"/>
    <w:tmpl w:val="36E69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4139E"/>
    <w:multiLevelType w:val="multilevel"/>
    <w:tmpl w:val="B218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C705DE"/>
    <w:multiLevelType w:val="multilevel"/>
    <w:tmpl w:val="827A0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35985"/>
    <w:multiLevelType w:val="multilevel"/>
    <w:tmpl w:val="1BACDC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831C5F"/>
    <w:multiLevelType w:val="multilevel"/>
    <w:tmpl w:val="46A6D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2609C7"/>
    <w:multiLevelType w:val="multilevel"/>
    <w:tmpl w:val="9E6C2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C801BF"/>
    <w:multiLevelType w:val="multilevel"/>
    <w:tmpl w:val="3C281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36C52"/>
    <w:multiLevelType w:val="multilevel"/>
    <w:tmpl w:val="B2CE1B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F800FA"/>
    <w:multiLevelType w:val="multilevel"/>
    <w:tmpl w:val="42E0F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6645D0"/>
    <w:multiLevelType w:val="multilevel"/>
    <w:tmpl w:val="F4587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10"/>
    <w:lvlOverride w:ilvl="0"/>
    <w:lvlOverride w:ilvl="1"/>
    <w:lvlOverride w:ilvl="2"/>
    <w:lvlOverride w:ilvl="3"/>
    <w:lvlOverride w:ilvl="4"/>
    <w:lvlOverride w:ilvl="5"/>
    <w:lvlOverride w:ilvl="6"/>
    <w:lvlOverride w:ilvl="7"/>
    <w:lvlOverride w:ilvl="8"/>
  </w:num>
  <w:num w:numId="7">
    <w:abstractNumId w:val="12"/>
    <w:lvlOverride w:ilvl="0"/>
    <w:lvlOverride w:ilvl="1"/>
    <w:lvlOverride w:ilvl="2"/>
    <w:lvlOverride w:ilvl="3"/>
    <w:lvlOverride w:ilvl="4"/>
    <w:lvlOverride w:ilvl="5"/>
    <w:lvlOverride w:ilvl="6"/>
    <w:lvlOverride w:ilvl="7"/>
    <w:lvlOverride w:ilvl="8"/>
  </w:num>
  <w:num w:numId="8">
    <w:abstractNumId w:val="9"/>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AB"/>
    <w:rsid w:val="00303D19"/>
    <w:rsid w:val="003679AB"/>
    <w:rsid w:val="004626F5"/>
    <w:rsid w:val="00760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2B14A"/>
  <w15:chartTrackingRefBased/>
  <w15:docId w15:val="{4ED9F49B-E023-4883-B029-AC885BBF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9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79AB"/>
    <w:rPr>
      <w:b/>
      <w:bCs/>
    </w:rPr>
  </w:style>
  <w:style w:type="character" w:styleId="Hyperlink">
    <w:name w:val="Hyperlink"/>
    <w:basedOn w:val="DefaultParagraphFont"/>
    <w:uiPriority w:val="99"/>
    <w:semiHidden/>
    <w:unhideWhenUsed/>
    <w:rsid w:val="007601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59522">
      <w:bodyDiv w:val="1"/>
      <w:marLeft w:val="0"/>
      <w:marRight w:val="0"/>
      <w:marTop w:val="0"/>
      <w:marBottom w:val="0"/>
      <w:divBdr>
        <w:top w:val="none" w:sz="0" w:space="0" w:color="auto"/>
        <w:left w:val="none" w:sz="0" w:space="0" w:color="auto"/>
        <w:bottom w:val="none" w:sz="0" w:space="0" w:color="auto"/>
        <w:right w:val="none" w:sz="0" w:space="0" w:color="auto"/>
      </w:divBdr>
    </w:div>
    <w:div w:id="41474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r20.rs6.net_tn.jsp-3Ff-3D001f0zM8B8E-2D3xHnIHMh-2DP-5FOBV8-2DNqnymc5yatx4buRBDvfTiNZXO2XIK9o8Jh7dF-2DHq9eWRLggogK5Dj4QPz-2D4aPYa7I0rlQogd-5FbUbfmvYEn0sec6dWcv7cg06dg30iRwq7HIdTr3ijnl0zYfm9Y6XGtOY883fIxVQsmt19M-5FEs0cAURBmDqc4L-5FQ9B4PzMq6yBAzo7Yrg-2DLDVF-2DXBLWpPAjvS8uSDVVI94BZwKAg-2DLW3lgsYAm-5FwWpFd-2DNKd4xdU-26c-3DYg0rA9w6pAPMO9r14nyk1DQQgMEOi855unOriaJvQ52WF0Pc8Cq-2DjQ-3D-3D-26ch-3DCfAOOg75XLBSe1-2DQUa51Z4GZFpvybUMUoWtgr9wH3DWE8j0p7ANgBA-3D-3D&amp;d=DwMGaQ&amp;c=sJ6xIWYx-zLMB3EPkvcnVg&amp;r=IZofswt2Szl0l_6tGQYyPA&amp;m=ym5tRIoZ2jasd49Qi_k5el8sDidysgwVU1PhnHlXiHY&amp;s=EdNa1sDPsUdtp5mbLUCV4fOqrNSpMlW1URocqD4BDKI&am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defense.proofpoint.com/v2/url?u=http-3A__r20.rs6.net_tn.jsp-3Ff-3D001f0zM8B8E-2D3xHnIHMh-2DP-5FOBV8-2DNqnymc5yatx4buRBDvfTiNZXO2XIK9o8Jh7dF-2DHmbhSpINKHKqbN24wMpQKeup6PTFPL4GOgrsYaG9jK2EyRR7-5FkoNpplJRnJulKPgLCMUf6uKkubNUewyY34zFvNoYlXzDROOhkSzn8nDuQSBIHNW-5F54RyElw4ms0KY-5FZ8azwJZtu1ZIwUqCzgFEeWsbu5dIFedBGmyo5TEQ3jbnnv9QiGk7FK0Q-3D-3D-26c-3DYg0rA9w6pAPMO9r14nyk1DQQgMEOi855unOriaJvQ52WF0Pc8Cq-2DjQ-3D-3D-26ch-3DCfAOOg75XLBSe1-2DQUa51Z4GZFpvybUMUoWtgr9wH3DWE8j0p7ANgBA-3D-3D&amp;d=DwMGaQ&amp;c=sJ6xIWYx-zLMB3EPkvcnVg&amp;r=IZofswt2Szl0l_6tGQYyPA&amp;m=ym5tRIoZ2jasd49Qi_k5el8sDidysgwVU1PhnHlXiHY&amp;s=h1Zwhr1y6BIFjNG3hCdgmpqM-qTJnH9uwNOjwdsxA4M&amp;e="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rldefense.proofpoint.com/v2/url?u=http-3A__r20.rs6.net_tn.jsp-3Ff-3D001f0zM8B8E-2D3xHnIHMh-2DP-5FOBV8-2DNqnymc5yatx4buRBDvfTiNZXO2XINNlYzMb4St52GoPT22T-2DvpQNi0-5FK1VYS9lvLbIRJ8OeumEHXWW362SVSOzOp4wQfyWa-5F-2DMNwWUGAYwSugYcDUw-3D-26c-3DYg0rA9w6pAPMO9r14nyk1DQQgMEOi855unOriaJvQ52WF0Pc8Cq-2DjQ-3D-3D-26ch-3DCfAOOg75XLBSe1-2DQUa51Z4GZFpvybUMUoWtgr9wH3DWE8j0p7ANgBA-3D-3D&amp;d=DwMGaQ&amp;c=sJ6xIWYx-zLMB3EPkvcnVg&amp;r=IZofswt2Szl0l_6tGQYyPA&amp;m=ym5tRIoZ2jasd49Qi_k5el8sDidysgwVU1PhnHlXiHY&amp;s=a4JKuu9EdaAbUZyClcPjgQxAdgIvqiAOBRMZ1oQ5Nr8&amp;e=" TargetMode="External"/><Relationship Id="rId5" Type="http://schemas.openxmlformats.org/officeDocument/2006/relationships/image" Target="media/image1.gif"/><Relationship Id="rId10" Type="http://schemas.openxmlformats.org/officeDocument/2006/relationships/hyperlink" Target="https://urldefense.proofpoint.com/v2/url?u=http-3A__r20.rs6.net_tn.jsp-3Ff-3D001f0zM8B8E-2D3xHnIHMh-2DP-5FOBV8-2DNqnymc5yatx4buRBDvfTiNZXO2XIK9o8Jh7dF-2DHBQb0Dq-5F3OMTKEG1PSYJNXyJQuqt8OYaB0a8RxuDYPTNG5ZGoTkSbmj0dzMPYhCNx9QM15AdfrxTXDy8LcpwN6JxAnDWr7ksncDrusJuKqcrY40tNh9WRiw-3D-3D-26c-3DYg0rA9w6pAPMO9r14nyk1DQQgMEOi855unOriaJvQ52WF0Pc8Cq-2DjQ-3D-3D-26ch-3DCfAOOg75XLBSe1-2DQUa51Z4GZFpvybUMUoWtgr9wH3DWE8j0p7ANgBA-3D-3D&amp;d=DwMGaQ&amp;c=sJ6xIWYx-zLMB3EPkvcnVg&amp;r=IZofswt2Szl0l_6tGQYyPA&amp;m=ym5tRIoZ2jasd49Qi_k5el8sDidysgwVU1PhnHlXiHY&amp;s=BFMtGlmiSdKdf4rhnJNCXpqb2nRhAnBnTZwH0lHiVO0&amp;e=" TargetMode="External"/><Relationship Id="rId4" Type="http://schemas.openxmlformats.org/officeDocument/2006/relationships/webSettings" Target="webSettings.xml"/><Relationship Id="rId9" Type="http://schemas.openxmlformats.org/officeDocument/2006/relationships/hyperlink" Target="https://urldefense.proofpoint.com/v2/url?u=http-3A__r20.rs6.net_tn.jsp-3Ff-3D001f0zM8B8E-2D3xHnIHMh-2DP-5FOBV8-2DNqnymc5yatx4buRBDvfTiNZXO2XIK9o8Jh7dF-2DH4t3CEoIDu7Oh9sINVvtIRgKznPayWrvaeVRC9KeEABUW7QKvUGzKXgliyKXZAqqwGbUZ0GmH39YY6hcBPvElmCsuACWdPLvw4Ax0OFERiJBlSJr1D5P3f-2D8kdi6VxXKhwiND748ab4NdQWM-5FIi-2DY6g-3D-3D-26c-3DYg0rA9w6pAPMO9r14nyk1DQQgMEOi855unOriaJvQ52WF0Pc8Cq-2DjQ-3D-3D-26ch-3DCfAOOg75XLBSe1-2DQUa51Z4GZFpvybUMUoWtgr9wH3DWE8j0p7ANgBA-3D-3D&amp;d=DwMGaQ&amp;c=sJ6xIWYx-zLMB3EPkvcnVg&amp;r=IZofswt2Szl0l_6tGQYyPA&amp;m=ym5tRIoZ2jasd49Qi_k5el8sDidysgwVU1PhnHlXiHY&amp;s=7ftgXhvdjr0Z-GIa3aZOJMF_8BPz_7md2KBQ3YLbz3k&amp;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Bostick</dc:creator>
  <cp:keywords/>
  <dc:description/>
  <cp:lastModifiedBy>Sarah Bostick</cp:lastModifiedBy>
  <cp:revision>1</cp:revision>
  <dcterms:created xsi:type="dcterms:W3CDTF">2020-04-09T16:58:00Z</dcterms:created>
  <dcterms:modified xsi:type="dcterms:W3CDTF">2020-04-09T17:48:00Z</dcterms:modified>
</cp:coreProperties>
</file>